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57" w:rsidRDefault="0084101C">
      <w:pPr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 xml:space="preserve">Вносится Губернатором </w:t>
      </w:r>
    </w:p>
    <w:p w:rsidR="00071757" w:rsidRDefault="0084101C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Новосибирской области </w:t>
      </w:r>
    </w:p>
    <w:p w:rsidR="00071757" w:rsidRDefault="00071757">
      <w:pPr>
        <w:jc w:val="right"/>
        <w:rPr>
          <w:i/>
          <w:sz w:val="28"/>
          <w:szCs w:val="28"/>
        </w:rPr>
      </w:pPr>
    </w:p>
    <w:p w:rsidR="00071757" w:rsidRDefault="0084101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</w:t>
      </w:r>
    </w:p>
    <w:p w:rsidR="00071757" w:rsidRDefault="00071757">
      <w:pPr>
        <w:jc w:val="center"/>
        <w:rPr>
          <w:bCs/>
          <w:sz w:val="28"/>
          <w:szCs w:val="28"/>
        </w:rPr>
      </w:pPr>
    </w:p>
    <w:p w:rsidR="00071757" w:rsidRDefault="00071757">
      <w:pPr>
        <w:jc w:val="center"/>
        <w:rPr>
          <w:bCs/>
          <w:sz w:val="28"/>
          <w:szCs w:val="28"/>
        </w:rPr>
      </w:pPr>
    </w:p>
    <w:p w:rsidR="00071757" w:rsidRDefault="0084101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</w:p>
    <w:p w:rsidR="00071757" w:rsidRDefault="0084101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НОВОСИБИРСКОЙ ОБЛАСТИ</w:t>
      </w:r>
    </w:p>
    <w:p w:rsidR="00071757" w:rsidRDefault="00071757">
      <w:pPr>
        <w:jc w:val="center"/>
        <w:rPr>
          <w:sz w:val="28"/>
          <w:szCs w:val="28"/>
        </w:rPr>
      </w:pPr>
    </w:p>
    <w:p w:rsidR="00071757" w:rsidRDefault="00071757">
      <w:pPr>
        <w:jc w:val="center"/>
        <w:outlineLvl w:val="0"/>
        <w:rPr>
          <w:b/>
          <w:bCs/>
          <w:sz w:val="28"/>
          <w:szCs w:val="28"/>
        </w:rPr>
      </w:pPr>
    </w:p>
    <w:p w:rsidR="00071757" w:rsidRDefault="0084101C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Закон Новосибирской области «Об отдельных вопросах организации транспортного обслуживания населения на территории Новосибирской области»</w:t>
      </w:r>
    </w:p>
    <w:p w:rsidR="00071757" w:rsidRDefault="00071757">
      <w:pPr>
        <w:jc w:val="center"/>
        <w:outlineLvl w:val="0"/>
        <w:rPr>
          <w:b/>
          <w:bCs/>
          <w:sz w:val="28"/>
          <w:szCs w:val="28"/>
        </w:rPr>
      </w:pPr>
    </w:p>
    <w:p w:rsidR="00071757" w:rsidRDefault="00071757">
      <w:pPr>
        <w:jc w:val="center"/>
        <w:outlineLvl w:val="0"/>
        <w:rPr>
          <w:b/>
          <w:bCs/>
          <w:sz w:val="28"/>
          <w:szCs w:val="28"/>
        </w:rPr>
      </w:pPr>
    </w:p>
    <w:p w:rsidR="00071757" w:rsidRDefault="0084101C">
      <w:pPr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071757" w:rsidRDefault="00071757">
      <w:pPr>
        <w:ind w:firstLine="709"/>
        <w:jc w:val="both"/>
        <w:outlineLvl w:val="0"/>
        <w:rPr>
          <w:sz w:val="28"/>
          <w:szCs w:val="28"/>
        </w:rPr>
      </w:pPr>
    </w:p>
    <w:p w:rsidR="00071757" w:rsidRDefault="0084101C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Внести в Закон Новосибирской области от 5 мая 2016 года № 55-ОЗ «Об отдельных вопросах организации транспортного обслуживания населения на территории Новосибирской области» (с изменениями, внесенными Законами Новосибирской области от 5 июля 20</w:t>
      </w:r>
      <w:r>
        <w:rPr>
          <w:bCs/>
          <w:sz w:val="28"/>
          <w:szCs w:val="28"/>
        </w:rPr>
        <w:t xml:space="preserve">17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185-ОЗ, от 6 июля 2018 года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276-ОЗ, от 20 декабря 2019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453-ОЗ, от 14 июля 2021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93-ОЗ, от 1 декабря 2021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142-ОЗ, от 1 декабря 2021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148-ОЗ, от 16 декабря 2022 года № 289-ОЗ, от 27 апреля 2023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>331</w:t>
      </w:r>
      <w:r>
        <w:rPr>
          <w:bCs/>
          <w:sz w:val="28"/>
          <w:szCs w:val="28"/>
        </w:rPr>
        <w:t xml:space="preserve">-ОЗ, от 4 октября 2023 года </w:t>
      </w: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379-ОЗ, </w:t>
      </w: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18 июля 2024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470-ОЗ, от 27 сентября 2024 года </w:t>
      </w:r>
      <w:r>
        <w:rPr>
          <w:bCs/>
          <w:sz w:val="28"/>
          <w:szCs w:val="28"/>
        </w:rPr>
        <w:t>№ </w:t>
      </w:r>
      <w:r>
        <w:rPr>
          <w:bCs/>
          <w:sz w:val="28"/>
          <w:szCs w:val="28"/>
        </w:rPr>
        <w:t xml:space="preserve">493-ОЗ, </w:t>
      </w: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28 ноября 2024 года № 511-ОЗ)</w:t>
      </w:r>
      <w:r>
        <w:rPr>
          <w:rFonts w:eastAsiaTheme="minorHAnsi"/>
          <w:sz w:val="28"/>
          <w:szCs w:val="28"/>
          <w:lang w:eastAsia="en-US"/>
        </w:rPr>
        <w:t xml:space="preserve"> следующие изменения:</w:t>
      </w:r>
    </w:p>
    <w:p w:rsidR="00071757" w:rsidRDefault="0084101C">
      <w:pPr>
        <w:ind w:left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в статье 2: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 в пункте 7 слова «выдано свидетельство об осуществлении» заменить словами «предоставлено право осуществления»;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в пункте 8 слова «свидетельства об осуществлении» заменить словами «права осуществления»;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 в пункте 12.2: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слова «свидетельства об осущест</w:t>
      </w:r>
      <w:r>
        <w:rPr>
          <w:rFonts w:eastAsiaTheme="minorHAnsi"/>
          <w:sz w:val="28"/>
          <w:szCs w:val="28"/>
          <w:lang w:eastAsia="en-US"/>
        </w:rPr>
        <w:t>влении» заменить словами «право осуществления»;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слова «и карты межмуниципальных маршрутов регулярных перевозок выдаются» заменить словом «предоставляется»;</w:t>
      </w:r>
    </w:p>
    <w:p w:rsidR="00071757" w:rsidRDefault="0084101C">
      <w:pPr>
        <w:ind w:left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в части 1 статьи 3: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white"/>
          <w:lang w:eastAsia="en-US"/>
        </w:rPr>
        <w:t xml:space="preserve">а) пункт 6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071757" w:rsidRDefault="0084101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«6) предоставление права осуществления перевозок по межмуниципальному маршруту регулярных перевозок по нерегулируемым тарифам, продление, прекращение и</w:t>
      </w:r>
      <w:r>
        <w:rPr>
          <w:rFonts w:eastAsiaTheme="minorHAnsi"/>
          <w:sz w:val="28"/>
          <w:szCs w:val="28"/>
          <w:lang w:eastAsia="en-US"/>
        </w:rPr>
        <w:t xml:space="preserve"> приостановление действия предоставленного права осуществления перевозок по межмуниципальному маршруту </w:t>
      </w:r>
      <w:r>
        <w:rPr>
          <w:rFonts w:eastAsiaTheme="minorHAnsi"/>
          <w:sz w:val="28"/>
          <w:szCs w:val="28"/>
          <w:lang w:eastAsia="en-US"/>
        </w:rPr>
        <w:t xml:space="preserve">регулярных перевозок по нерегулируемым тарифам, выдача, оформление, переоформление карт маршрута регулярных перевозок по нерегулируемым тарифам, </w:t>
      </w:r>
      <w:r>
        <w:rPr>
          <w:rFonts w:eastAsiaTheme="minorHAnsi"/>
          <w:sz w:val="28"/>
          <w:szCs w:val="28"/>
          <w:lang w:eastAsia="en-US"/>
        </w:rPr>
        <w:t>изменени</w:t>
      </w:r>
      <w:r>
        <w:rPr>
          <w:rFonts w:eastAsiaTheme="minorHAnsi"/>
          <w:sz w:val="28"/>
          <w:szCs w:val="28"/>
          <w:lang w:eastAsia="en-US"/>
        </w:rPr>
        <w:t>е сведений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lastRenderedPageBreak/>
        <w:t>содержащихся в карте маршрута регулярных перевозок по нерегулируемым тарифам, пре</w:t>
      </w:r>
      <w:r>
        <w:rPr>
          <w:rFonts w:eastAsiaTheme="minorHAnsi"/>
          <w:sz w:val="28"/>
          <w:szCs w:val="28"/>
          <w:lang w:eastAsia="en-US"/>
        </w:rPr>
        <w:t>кращение и</w:t>
      </w:r>
      <w:r>
        <w:rPr>
          <w:rFonts w:eastAsiaTheme="minorHAnsi"/>
          <w:sz w:val="28"/>
          <w:szCs w:val="28"/>
          <w:lang w:eastAsia="en-US"/>
        </w:rPr>
        <w:t xml:space="preserve"> приостановление действия карт маршрута регулярных перевозок по нерегулируемым тарифам;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071757" w:rsidRDefault="0084101C">
      <w:pPr>
        <w:ind w:left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пункт 6.1 признать утратившим силу;</w:t>
      </w:r>
    </w:p>
    <w:p w:rsidR="00071757" w:rsidRDefault="0084101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 в пункте 8 слова «выдано свидетельство об осуществлении» заменить словами «предоставлено право осуществления»;</w:t>
      </w:r>
    </w:p>
    <w:p w:rsidR="00071757" w:rsidRDefault="0084101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>
        <w:rPr>
          <w:rFonts w:eastAsiaTheme="minorHAnsi"/>
          <w:sz w:val="28"/>
          <w:szCs w:val="28"/>
          <w:lang w:eastAsia="en-US"/>
        </w:rPr>
        <w:t>) в пункте 9 слова «получения свидетельства об осуществлении» заменить словом «осуществления»;</w:t>
      </w:r>
    </w:p>
    <w:p w:rsidR="00071757" w:rsidRDefault="0084101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 в пункте 12 слова «свидетельства об осуществлении» заменить словом «осуществления»;</w:t>
      </w:r>
    </w:p>
    <w:p w:rsidR="00071757" w:rsidRDefault="0084101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статью 5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071757" w:rsidRDefault="0084101C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«Статья 5. Прекращение действия предоставленного права осуществления перевозок по маршруту регулярных перевозок по нерегулируемым тарифам</w:t>
      </w:r>
    </w:p>
    <w:p w:rsidR="00071757" w:rsidRDefault="0007175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71757" w:rsidRDefault="0084101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Уполномоченный орган, предоставивший право осуществления перевозок по межмуниципальному маршруту регулярных перевозок</w:t>
      </w:r>
      <w:r>
        <w:rPr>
          <w:rFonts w:eastAsiaTheme="minorHAnsi"/>
          <w:sz w:val="28"/>
          <w:szCs w:val="28"/>
          <w:lang w:eastAsia="en-US"/>
        </w:rPr>
        <w:t xml:space="preserve"> по нерегулируемым тарифам, уполномоченный орган местного самоуправления, предоставивший право осуществления перевозок по муниципальному маршруту регулярных перевозок по нерегулируемым тарифам, обращаются в суд с заявлением о прекращении </w:t>
      </w:r>
      <w:r>
        <w:rPr>
          <w:rFonts w:eastAsiaTheme="minorHAnsi"/>
          <w:sz w:val="28"/>
          <w:szCs w:val="28"/>
          <w:lang w:eastAsia="en-US"/>
        </w:rPr>
        <w:t xml:space="preserve">данного </w:t>
      </w:r>
      <w:r>
        <w:rPr>
          <w:rFonts w:eastAsiaTheme="minorHAnsi"/>
          <w:sz w:val="28"/>
          <w:szCs w:val="28"/>
          <w:lang w:eastAsia="en-US"/>
        </w:rPr>
        <w:t xml:space="preserve">права </w:t>
      </w:r>
      <w:r>
        <w:rPr>
          <w:rFonts w:eastAsiaTheme="minorHAnsi"/>
          <w:sz w:val="28"/>
          <w:szCs w:val="28"/>
          <w:lang w:eastAsia="en-US"/>
        </w:rPr>
        <w:t xml:space="preserve">перевозок по соответствующему маршруту регулярных перевозок по нерегулируемым тарифам при наступлении </w:t>
      </w:r>
      <w:r>
        <w:rPr>
          <w:rFonts w:eastAsiaTheme="minorHAnsi"/>
          <w:sz w:val="28"/>
          <w:szCs w:val="28"/>
          <w:lang w:eastAsia="en-US"/>
        </w:rPr>
        <w:t xml:space="preserve">хотя бы одного из </w:t>
      </w:r>
      <w:r>
        <w:rPr>
          <w:rFonts w:eastAsiaTheme="minorHAnsi"/>
          <w:sz w:val="28"/>
          <w:szCs w:val="28"/>
          <w:lang w:eastAsia="en-US"/>
        </w:rPr>
        <w:t xml:space="preserve">обстоятельств, предусмотренных </w:t>
      </w:r>
      <w:r>
        <w:rPr>
          <w:rFonts w:eastAsiaTheme="minorHAnsi"/>
          <w:sz w:val="28"/>
          <w:szCs w:val="28"/>
          <w:lang w:eastAsia="en-US"/>
        </w:rPr>
        <w:t xml:space="preserve">частью </w:t>
      </w:r>
      <w:r>
        <w:rPr>
          <w:rFonts w:eastAsiaTheme="minorHAnsi"/>
          <w:sz w:val="28"/>
          <w:szCs w:val="28"/>
          <w:lang w:eastAsia="en-US"/>
        </w:rPr>
        <w:t xml:space="preserve">5 </w:t>
      </w:r>
      <w:r>
        <w:rPr>
          <w:rFonts w:eastAsiaTheme="minorHAnsi"/>
          <w:sz w:val="28"/>
          <w:szCs w:val="28"/>
          <w:lang w:eastAsia="en-US"/>
        </w:rPr>
        <w:t xml:space="preserve">статьи </w:t>
      </w:r>
      <w:r>
        <w:rPr>
          <w:rFonts w:eastAsiaTheme="minorHAnsi"/>
          <w:sz w:val="28"/>
          <w:szCs w:val="28"/>
          <w:lang w:eastAsia="en-US"/>
        </w:rPr>
        <w:t>29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№ 220-ФЗ.».</w:t>
      </w:r>
    </w:p>
    <w:p w:rsidR="00071757" w:rsidRDefault="00071757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071757" w:rsidRDefault="0084101C">
      <w:pPr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071757" w:rsidRDefault="00071757">
      <w:pPr>
        <w:rPr>
          <w:sz w:val="28"/>
          <w:szCs w:val="28"/>
        </w:rPr>
      </w:pPr>
    </w:p>
    <w:p w:rsidR="00071757" w:rsidRDefault="0084101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</w:t>
      </w:r>
      <w:r>
        <w:rPr>
          <w:sz w:val="28"/>
          <w:szCs w:val="28"/>
        </w:rPr>
        <w:t xml:space="preserve"> вступает в силу с 1 сентября 2026 года.</w:t>
      </w:r>
    </w:p>
    <w:p w:rsidR="00071757" w:rsidRDefault="00071757">
      <w:pPr>
        <w:rPr>
          <w:sz w:val="28"/>
          <w:szCs w:val="28"/>
        </w:rPr>
      </w:pPr>
    </w:p>
    <w:p w:rsidR="00071757" w:rsidRDefault="00071757">
      <w:pPr>
        <w:rPr>
          <w:sz w:val="28"/>
          <w:szCs w:val="28"/>
        </w:rPr>
      </w:pPr>
    </w:p>
    <w:p w:rsidR="00071757" w:rsidRDefault="00071757">
      <w:pPr>
        <w:rPr>
          <w:sz w:val="28"/>
          <w:szCs w:val="28"/>
        </w:rPr>
      </w:pPr>
    </w:p>
    <w:p w:rsidR="00071757" w:rsidRDefault="008410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:rsidR="00071757" w:rsidRDefault="0084101C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071757" w:rsidRDefault="00071757">
      <w:pPr>
        <w:ind w:left="360" w:hanging="360"/>
        <w:rPr>
          <w:sz w:val="28"/>
          <w:szCs w:val="28"/>
        </w:rPr>
      </w:pPr>
    </w:p>
    <w:p w:rsidR="00071757" w:rsidRDefault="00071757">
      <w:pPr>
        <w:ind w:left="360" w:hanging="360"/>
        <w:rPr>
          <w:sz w:val="28"/>
          <w:szCs w:val="28"/>
        </w:rPr>
      </w:pPr>
    </w:p>
    <w:p w:rsidR="00071757" w:rsidRDefault="0084101C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071757" w:rsidRDefault="00071757">
      <w:pPr>
        <w:ind w:left="360" w:hanging="360"/>
        <w:rPr>
          <w:sz w:val="28"/>
          <w:szCs w:val="28"/>
        </w:rPr>
      </w:pPr>
    </w:p>
    <w:p w:rsidR="00071757" w:rsidRDefault="0084101C">
      <w:pPr>
        <w:rPr>
          <w:sz w:val="28"/>
          <w:szCs w:val="28"/>
        </w:rPr>
      </w:pPr>
      <w:r>
        <w:rPr>
          <w:sz w:val="28"/>
          <w:szCs w:val="28"/>
        </w:rPr>
        <w:t>«___» __________ 2025 г.</w:t>
      </w:r>
    </w:p>
    <w:p w:rsidR="00071757" w:rsidRDefault="00071757">
      <w:pPr>
        <w:rPr>
          <w:sz w:val="28"/>
          <w:szCs w:val="28"/>
        </w:rPr>
      </w:pPr>
    </w:p>
    <w:p w:rsidR="00071757" w:rsidRDefault="0084101C">
      <w:pPr>
        <w:rPr>
          <w:sz w:val="28"/>
          <w:szCs w:val="28"/>
        </w:rPr>
      </w:pPr>
      <w:r>
        <w:rPr>
          <w:sz w:val="28"/>
          <w:szCs w:val="28"/>
        </w:rPr>
        <w:t>№ _____________ – ОЗ</w:t>
      </w:r>
    </w:p>
    <w:sectPr w:rsidR="0007175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1C" w:rsidRDefault="0084101C">
      <w:r>
        <w:separator/>
      </w:r>
    </w:p>
  </w:endnote>
  <w:endnote w:type="continuationSeparator" w:id="0">
    <w:p w:rsidR="0084101C" w:rsidRDefault="0084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1C" w:rsidRDefault="0084101C">
      <w:r>
        <w:separator/>
      </w:r>
    </w:p>
  </w:footnote>
  <w:footnote w:type="continuationSeparator" w:id="0">
    <w:p w:rsidR="0084101C" w:rsidRDefault="00841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757" w:rsidRDefault="0084101C">
    <w:pPr>
      <w:pStyle w:val="af4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C903CB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071757" w:rsidRDefault="00071757">
    <w:pPr>
      <w:pStyle w:val="af4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2F7"/>
    <w:multiLevelType w:val="hybridMultilevel"/>
    <w:tmpl w:val="7D54A158"/>
    <w:lvl w:ilvl="0" w:tplc="BD7CD4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11A65B82">
      <w:start w:val="1"/>
      <w:numFmt w:val="lowerLetter"/>
      <w:lvlText w:val="%2."/>
      <w:lvlJc w:val="left"/>
      <w:pPr>
        <w:ind w:left="1785" w:hanging="360"/>
      </w:pPr>
    </w:lvl>
    <w:lvl w:ilvl="2" w:tplc="1D8282E8">
      <w:start w:val="1"/>
      <w:numFmt w:val="lowerRoman"/>
      <w:lvlText w:val="%3."/>
      <w:lvlJc w:val="right"/>
      <w:pPr>
        <w:ind w:left="2505" w:hanging="180"/>
      </w:pPr>
    </w:lvl>
    <w:lvl w:ilvl="3" w:tplc="96E2CDB2">
      <w:start w:val="1"/>
      <w:numFmt w:val="decimal"/>
      <w:lvlText w:val="%4."/>
      <w:lvlJc w:val="left"/>
      <w:pPr>
        <w:ind w:left="3225" w:hanging="360"/>
      </w:pPr>
    </w:lvl>
    <w:lvl w:ilvl="4" w:tplc="A2C4CA4E">
      <w:start w:val="1"/>
      <w:numFmt w:val="lowerLetter"/>
      <w:lvlText w:val="%5."/>
      <w:lvlJc w:val="left"/>
      <w:pPr>
        <w:ind w:left="3945" w:hanging="360"/>
      </w:pPr>
    </w:lvl>
    <w:lvl w:ilvl="5" w:tplc="B93A6D44">
      <w:start w:val="1"/>
      <w:numFmt w:val="lowerRoman"/>
      <w:lvlText w:val="%6."/>
      <w:lvlJc w:val="right"/>
      <w:pPr>
        <w:ind w:left="4665" w:hanging="180"/>
      </w:pPr>
    </w:lvl>
    <w:lvl w:ilvl="6" w:tplc="53BE243C">
      <w:start w:val="1"/>
      <w:numFmt w:val="decimal"/>
      <w:lvlText w:val="%7."/>
      <w:lvlJc w:val="left"/>
      <w:pPr>
        <w:ind w:left="5385" w:hanging="360"/>
      </w:pPr>
    </w:lvl>
    <w:lvl w:ilvl="7" w:tplc="958817A8">
      <w:start w:val="1"/>
      <w:numFmt w:val="lowerLetter"/>
      <w:lvlText w:val="%8."/>
      <w:lvlJc w:val="left"/>
      <w:pPr>
        <w:ind w:left="6105" w:hanging="360"/>
      </w:pPr>
    </w:lvl>
    <w:lvl w:ilvl="8" w:tplc="D1D8C66A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D420581"/>
    <w:multiLevelType w:val="hybridMultilevel"/>
    <w:tmpl w:val="C20E2982"/>
    <w:lvl w:ilvl="0" w:tplc="22D6C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A60C586">
      <w:start w:val="1"/>
      <w:numFmt w:val="lowerLetter"/>
      <w:lvlText w:val="%2."/>
      <w:lvlJc w:val="left"/>
      <w:pPr>
        <w:ind w:left="1800" w:hanging="360"/>
      </w:pPr>
    </w:lvl>
    <w:lvl w:ilvl="2" w:tplc="5C7A3E52">
      <w:start w:val="1"/>
      <w:numFmt w:val="lowerRoman"/>
      <w:lvlText w:val="%3."/>
      <w:lvlJc w:val="right"/>
      <w:pPr>
        <w:ind w:left="2520" w:hanging="180"/>
      </w:pPr>
    </w:lvl>
    <w:lvl w:ilvl="3" w:tplc="2E8625FE">
      <w:start w:val="1"/>
      <w:numFmt w:val="decimal"/>
      <w:lvlText w:val="%4."/>
      <w:lvlJc w:val="left"/>
      <w:pPr>
        <w:ind w:left="3240" w:hanging="360"/>
      </w:pPr>
    </w:lvl>
    <w:lvl w:ilvl="4" w:tplc="F0D6E396">
      <w:start w:val="1"/>
      <w:numFmt w:val="lowerLetter"/>
      <w:lvlText w:val="%5."/>
      <w:lvlJc w:val="left"/>
      <w:pPr>
        <w:ind w:left="3960" w:hanging="360"/>
      </w:pPr>
    </w:lvl>
    <w:lvl w:ilvl="5" w:tplc="7D6646A0">
      <w:start w:val="1"/>
      <w:numFmt w:val="lowerRoman"/>
      <w:lvlText w:val="%6."/>
      <w:lvlJc w:val="right"/>
      <w:pPr>
        <w:ind w:left="4680" w:hanging="180"/>
      </w:pPr>
    </w:lvl>
    <w:lvl w:ilvl="6" w:tplc="F504510E">
      <w:start w:val="1"/>
      <w:numFmt w:val="decimal"/>
      <w:lvlText w:val="%7."/>
      <w:lvlJc w:val="left"/>
      <w:pPr>
        <w:ind w:left="5400" w:hanging="360"/>
      </w:pPr>
    </w:lvl>
    <w:lvl w:ilvl="7" w:tplc="0A12993A">
      <w:start w:val="1"/>
      <w:numFmt w:val="lowerLetter"/>
      <w:lvlText w:val="%8."/>
      <w:lvlJc w:val="left"/>
      <w:pPr>
        <w:ind w:left="6120" w:hanging="360"/>
      </w:pPr>
    </w:lvl>
    <w:lvl w:ilvl="8" w:tplc="BC68802E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7C17C1"/>
    <w:multiLevelType w:val="hybridMultilevel"/>
    <w:tmpl w:val="F7E00B84"/>
    <w:lvl w:ilvl="0" w:tplc="DA8E3D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872E4BA">
      <w:start w:val="1"/>
      <w:numFmt w:val="lowerLetter"/>
      <w:lvlText w:val="%2."/>
      <w:lvlJc w:val="left"/>
      <w:pPr>
        <w:ind w:left="1800" w:hanging="360"/>
      </w:pPr>
    </w:lvl>
    <w:lvl w:ilvl="2" w:tplc="3DCAF51C">
      <w:start w:val="1"/>
      <w:numFmt w:val="lowerRoman"/>
      <w:lvlText w:val="%3."/>
      <w:lvlJc w:val="right"/>
      <w:pPr>
        <w:ind w:left="2520" w:hanging="180"/>
      </w:pPr>
    </w:lvl>
    <w:lvl w:ilvl="3" w:tplc="DCF09EB6">
      <w:start w:val="1"/>
      <w:numFmt w:val="decimal"/>
      <w:lvlText w:val="%4."/>
      <w:lvlJc w:val="left"/>
      <w:pPr>
        <w:ind w:left="3240" w:hanging="360"/>
      </w:pPr>
    </w:lvl>
    <w:lvl w:ilvl="4" w:tplc="25720D48">
      <w:start w:val="1"/>
      <w:numFmt w:val="lowerLetter"/>
      <w:lvlText w:val="%5."/>
      <w:lvlJc w:val="left"/>
      <w:pPr>
        <w:ind w:left="3960" w:hanging="360"/>
      </w:pPr>
    </w:lvl>
    <w:lvl w:ilvl="5" w:tplc="E7C2C1AA">
      <w:start w:val="1"/>
      <w:numFmt w:val="lowerRoman"/>
      <w:lvlText w:val="%6."/>
      <w:lvlJc w:val="right"/>
      <w:pPr>
        <w:ind w:left="4680" w:hanging="180"/>
      </w:pPr>
    </w:lvl>
    <w:lvl w:ilvl="6" w:tplc="1CD44E66">
      <w:start w:val="1"/>
      <w:numFmt w:val="decimal"/>
      <w:lvlText w:val="%7."/>
      <w:lvlJc w:val="left"/>
      <w:pPr>
        <w:ind w:left="5400" w:hanging="360"/>
      </w:pPr>
    </w:lvl>
    <w:lvl w:ilvl="7" w:tplc="1D5A79E2">
      <w:start w:val="1"/>
      <w:numFmt w:val="lowerLetter"/>
      <w:lvlText w:val="%8."/>
      <w:lvlJc w:val="left"/>
      <w:pPr>
        <w:ind w:left="6120" w:hanging="360"/>
      </w:pPr>
    </w:lvl>
    <w:lvl w:ilvl="8" w:tplc="32E4DCA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57"/>
    <w:rsid w:val="00071757"/>
    <w:rsid w:val="0084101C"/>
    <w:rsid w:val="00C9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46FC9-3B03-46E8-952A-0FE55D6A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FA3F8-2AF8-4099-B5C7-9654BC2A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501</Words>
  <Characters>2857</Characters>
  <Application>Microsoft Office Word</Application>
  <DocSecurity>0</DocSecurity>
  <Lines>23</Lines>
  <Paragraphs>6</Paragraphs>
  <ScaleCrop>false</ScaleCrop>
  <Company>PNO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7</cp:revision>
  <cp:lastPrinted>2025-11-01T05:05:00Z</cp:lastPrinted>
  <dcterms:created xsi:type="dcterms:W3CDTF">2025-11-01T05:06:00Z</dcterms:created>
  <dcterms:modified xsi:type="dcterms:W3CDTF">2025-11-11T08:51:00Z</dcterms:modified>
</cp:coreProperties>
</file>